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bookmarkStart w:id="0" w:name="_GoBack"/>
      <w:bookmarkEnd w:id="0"/>
      <w:r>
        <w:t xml:space="preserve">PUC DOCKET NO. </w:t>
      </w:r>
      <w:r w:rsidR="00AB71DA">
        <w:t>49189</w:t>
      </w:r>
      <w:r>
        <w:br/>
        <w:t xml:space="preserve">SOAH DOCKET NO. </w:t>
      </w:r>
      <w:r w:rsidR="00AB71DA" w:rsidRPr="00AB71DA">
        <w:t>473-19-6297.WS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B71DA" w:rsidP="001E360C">
            <w:pPr>
              <w:pStyle w:val="Docketstyle"/>
            </w:pPr>
            <w:r w:rsidRPr="00AB71DA">
              <w:t>APPLICATION OF THE CITY OF AUSTIN DBA AUSTIN WATER FOR AUTHORITY TO CHANGE WATER AND WASTEWATER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B71DA" w:rsidP="00C54659">
      <w:pPr>
        <w:pStyle w:val="Titleoforder"/>
      </w:pPr>
      <w:r>
        <w:t>ORDER ON INTERIM APPEAL</w:t>
      </w:r>
    </w:p>
    <w:p w:rsidR="00AB71DA" w:rsidRDefault="00AB71DA" w:rsidP="00AB71DA">
      <w:pPr>
        <w:pStyle w:val="BodyText"/>
      </w:pPr>
      <w:r w:rsidRPr="00AB71DA">
        <w:t xml:space="preserve">This Order addresses </w:t>
      </w:r>
      <w:r w:rsidRPr="00523BF9">
        <w:rPr>
          <w:color w:val="000000"/>
        </w:rPr>
        <w:t xml:space="preserve">North Austin Municipal Utility District No. 1, Northtown Municipal Utility District, Travis County Water Control &amp; Improvement District No. 10, and Wells Branch Municipal Utility District (the Districts) </w:t>
      </w:r>
      <w:r>
        <w:rPr>
          <w:color w:val="000000"/>
        </w:rPr>
        <w:t xml:space="preserve">and Commission Staff’s </w:t>
      </w:r>
      <w:bookmarkStart w:id="1" w:name="_Hlk24020142"/>
      <w:r>
        <w:rPr>
          <w:color w:val="000000"/>
        </w:rPr>
        <w:t xml:space="preserve">joint appeal of </w:t>
      </w:r>
      <w:r w:rsidR="00B47AE7" w:rsidRPr="001950C3">
        <w:t xml:space="preserve">to </w:t>
      </w:r>
      <w:r w:rsidR="00B47AE7">
        <w:t>the State Office of Administrative Hearings</w:t>
      </w:r>
      <w:r w:rsidR="00B47AE7">
        <w:rPr>
          <w:color w:val="000000"/>
        </w:rPr>
        <w:t xml:space="preserve"> (</w:t>
      </w:r>
      <w:r>
        <w:rPr>
          <w:color w:val="000000"/>
        </w:rPr>
        <w:t>SOAH</w:t>
      </w:r>
      <w:r w:rsidR="00B47AE7">
        <w:rPr>
          <w:color w:val="000000"/>
        </w:rPr>
        <w:t>)</w:t>
      </w:r>
      <w:r>
        <w:rPr>
          <w:color w:val="000000"/>
        </w:rPr>
        <w:t xml:space="preserve"> Order No. 7</w:t>
      </w:r>
      <w:bookmarkEnd w:id="1"/>
      <w:r>
        <w:rPr>
          <w:color w:val="000000"/>
        </w:rPr>
        <w:t xml:space="preserve">.  </w:t>
      </w:r>
      <w:r w:rsidRPr="00AB71DA">
        <w:t xml:space="preserve"> For the reasons discussed in this Order, the Commission </w:t>
      </w:r>
      <w:r>
        <w:t>grants the joint appeal</w:t>
      </w:r>
      <w:r w:rsidRPr="00AB71DA">
        <w:t>.</w:t>
      </w:r>
    </w:p>
    <w:p w:rsidR="00295919" w:rsidRDefault="00916645" w:rsidP="00916645">
      <w:pPr>
        <w:pStyle w:val="BodyText"/>
        <w:rPr>
          <w:rFonts w:eastAsia="Times New Roman"/>
          <w:color w:val="000000"/>
          <w:spacing w:val="2"/>
          <w:sz w:val="23"/>
        </w:rPr>
      </w:pPr>
      <w:r>
        <w:t>O</w:t>
      </w:r>
      <w:r w:rsidRPr="006772A8">
        <w:t xml:space="preserve">n </w:t>
      </w:r>
      <w:r>
        <w:t>April</w:t>
      </w:r>
      <w:r w:rsidRPr="006772A8">
        <w:t xml:space="preserve"> </w:t>
      </w:r>
      <w:r>
        <w:t>15, 2019, the City of Austin</w:t>
      </w:r>
      <w:r w:rsidRPr="00740C2E">
        <w:t xml:space="preserve"> filed an application under Texas Water Code (TWC) § 13.044(b) and in compliance with the Commission’s order on rehearing in Docket No. 42857</w:t>
      </w:r>
      <w:r w:rsidRPr="00740C2E">
        <w:rPr>
          <w:vertAlign w:val="superscript"/>
        </w:rPr>
        <w:footnoteReference w:id="1"/>
      </w:r>
      <w:r w:rsidRPr="00740C2E">
        <w:t xml:space="preserve"> for authority to change its water and wastewater rates. </w:t>
      </w:r>
      <w:r>
        <w:t xml:space="preserve"> </w:t>
      </w:r>
      <w:r w:rsidRPr="001950C3">
        <w:t>The docket was referred SOAH on July 22, 2019</w:t>
      </w:r>
      <w:r>
        <w:t xml:space="preserve">.  </w:t>
      </w:r>
      <w:r>
        <w:rPr>
          <w:color w:val="000000"/>
        </w:rPr>
        <w:t>Subsequently, the Districts were granted intervention.  On September 11, 2019, the Districts filed their sixth request for information (RFI) to the City.  The City</w:t>
      </w:r>
      <w:r w:rsidRPr="00ED1DBF">
        <w:rPr>
          <w:color w:val="000000"/>
        </w:rPr>
        <w:t xml:space="preserve"> objected </w:t>
      </w:r>
      <w:r>
        <w:rPr>
          <w:color w:val="000000"/>
        </w:rPr>
        <w:t xml:space="preserve">to </w:t>
      </w:r>
      <w:r w:rsidRPr="00ED1DBF">
        <w:rPr>
          <w:color w:val="000000"/>
        </w:rPr>
        <w:t>RFIs</w:t>
      </w:r>
      <w:r>
        <w:rPr>
          <w:color w:val="000000"/>
        </w:rPr>
        <w:t xml:space="preserve"> 6-4 through 6-7 </w:t>
      </w:r>
      <w:r w:rsidRPr="00ED1DBF">
        <w:rPr>
          <w:color w:val="000000"/>
        </w:rPr>
        <w:t>based on relevance.</w:t>
      </w:r>
      <w:r w:rsidR="003634A4">
        <w:rPr>
          <w:rStyle w:val="FootnoteReference"/>
          <w:color w:val="000000"/>
        </w:rPr>
        <w:footnoteReference w:id="2"/>
      </w:r>
      <w:r>
        <w:rPr>
          <w:color w:val="000000"/>
        </w:rPr>
        <w:t xml:space="preserve">  </w:t>
      </w:r>
    </w:p>
    <w:p w:rsidR="003634A4" w:rsidRDefault="00916645" w:rsidP="00295919">
      <w:pPr>
        <w:pStyle w:val="BodyText"/>
        <w:rPr>
          <w:color w:val="000000"/>
        </w:rPr>
      </w:pPr>
      <w:r>
        <w:rPr>
          <w:color w:val="000000"/>
        </w:rPr>
        <w:t xml:space="preserve">On September 30, 2019, the </w:t>
      </w:r>
      <w:bookmarkStart w:id="2" w:name="_Hlk24020393"/>
      <w:r>
        <w:rPr>
          <w:color w:val="000000"/>
        </w:rPr>
        <w:t>District</w:t>
      </w:r>
      <w:r w:rsidRPr="00B330C0">
        <w:rPr>
          <w:color w:val="000000"/>
        </w:rPr>
        <w:t>’s</w:t>
      </w:r>
      <w:r>
        <w:rPr>
          <w:color w:val="000000"/>
        </w:rPr>
        <w:t xml:space="preserve"> filed a motion to compel</w:t>
      </w:r>
      <w:bookmarkEnd w:id="2"/>
      <w:r>
        <w:rPr>
          <w:color w:val="000000"/>
        </w:rPr>
        <w:t xml:space="preserve"> the City’s response to </w:t>
      </w:r>
      <w:r w:rsidRPr="00ED1DBF">
        <w:rPr>
          <w:color w:val="000000"/>
        </w:rPr>
        <w:t>RFIs</w:t>
      </w:r>
      <w:r>
        <w:rPr>
          <w:color w:val="000000"/>
        </w:rPr>
        <w:t xml:space="preserve"> 6-4 through 6-7.</w:t>
      </w:r>
      <w:r w:rsidR="00F73787">
        <w:rPr>
          <w:rStyle w:val="FootnoteReference"/>
          <w:color w:val="000000"/>
        </w:rPr>
        <w:footnoteReference w:id="3"/>
      </w:r>
      <w:r w:rsidR="00F73787">
        <w:rPr>
          <w:color w:val="000000"/>
        </w:rPr>
        <w:t xml:space="preserve"> </w:t>
      </w:r>
      <w:r>
        <w:rPr>
          <w:color w:val="000000"/>
        </w:rPr>
        <w:t xml:space="preserve"> </w:t>
      </w:r>
      <w:r w:rsidR="0040004D">
        <w:rPr>
          <w:color w:val="000000"/>
        </w:rPr>
        <w:t>T</w:t>
      </w:r>
      <w:r w:rsidR="0040004D" w:rsidRPr="00ED1DBF">
        <w:rPr>
          <w:color w:val="000000"/>
        </w:rPr>
        <w:t xml:space="preserve">he Districts </w:t>
      </w:r>
      <w:r w:rsidR="0040004D">
        <w:rPr>
          <w:color w:val="000000"/>
        </w:rPr>
        <w:t>stated that</w:t>
      </w:r>
      <w:r w:rsidR="0040004D" w:rsidRPr="00ED1DBF">
        <w:rPr>
          <w:color w:val="000000"/>
        </w:rPr>
        <w:t xml:space="preserve"> they are entitled to </w:t>
      </w:r>
      <w:r w:rsidR="0040004D">
        <w:rPr>
          <w:color w:val="000000"/>
        </w:rPr>
        <w:t>“</w:t>
      </w:r>
      <w:r w:rsidR="0040004D" w:rsidRPr="00ED1DBF">
        <w:rPr>
          <w:color w:val="000000"/>
        </w:rPr>
        <w:t xml:space="preserve">obtain discovery regarding any matter </w:t>
      </w:r>
      <w:r w:rsidR="0040004D">
        <w:rPr>
          <w:color w:val="000000"/>
        </w:rPr>
        <w:t xml:space="preserve">that is </w:t>
      </w:r>
      <w:r w:rsidR="0040004D" w:rsidRPr="00ED1DBF">
        <w:rPr>
          <w:color w:val="000000"/>
        </w:rPr>
        <w:t>not privileged and</w:t>
      </w:r>
      <w:r w:rsidR="0040004D">
        <w:rPr>
          <w:color w:val="000000"/>
        </w:rPr>
        <w:t xml:space="preserve"> is</w:t>
      </w:r>
      <w:r w:rsidR="0040004D" w:rsidRPr="00ED1DBF">
        <w:rPr>
          <w:color w:val="000000"/>
        </w:rPr>
        <w:t xml:space="preserve"> relevant to the subject matter of the pending action,</w:t>
      </w:r>
      <w:r w:rsidR="0040004D">
        <w:rPr>
          <w:color w:val="000000"/>
        </w:rPr>
        <w:t>”</w:t>
      </w:r>
      <w:r w:rsidR="0040004D" w:rsidRPr="00ED1DBF">
        <w:rPr>
          <w:color w:val="000000"/>
        </w:rPr>
        <w:t xml:space="preserve"> </w:t>
      </w:r>
      <w:r w:rsidR="0040004D">
        <w:rPr>
          <w:color w:val="000000"/>
        </w:rPr>
        <w:t>and may obtain discovery of information reasonably calculated to lead to the discovery of admissible evidence</w:t>
      </w:r>
      <w:r w:rsidR="0040004D" w:rsidRPr="00ED1DBF">
        <w:rPr>
          <w:color w:val="000000"/>
        </w:rPr>
        <w:t>.</w:t>
      </w:r>
      <w:r w:rsidR="0040004D">
        <w:rPr>
          <w:color w:val="000000"/>
          <w:vertAlign w:val="superscript"/>
        </w:rPr>
        <w:t xml:space="preserve">” </w:t>
      </w:r>
      <w:r w:rsidR="0040004D">
        <w:rPr>
          <w:rStyle w:val="FootnoteReference"/>
          <w:color w:val="000000"/>
        </w:rPr>
        <w:footnoteReference w:id="4"/>
      </w:r>
      <w:r w:rsidR="0040004D">
        <w:rPr>
          <w:color w:val="000000"/>
        </w:rPr>
        <w:t xml:space="preserve"> </w:t>
      </w:r>
      <w:r>
        <w:rPr>
          <w:color w:val="000000"/>
        </w:rPr>
        <w:t xml:space="preserve">On October 14, 2019, the </w:t>
      </w:r>
      <w:bookmarkStart w:id="3" w:name="_Hlk24020528"/>
      <w:r>
        <w:rPr>
          <w:color w:val="000000"/>
        </w:rPr>
        <w:t xml:space="preserve">SOAH </w:t>
      </w:r>
      <w:r w:rsidR="00B47AE7">
        <w:rPr>
          <w:color w:val="000000"/>
        </w:rPr>
        <w:t>administrative law judges (</w:t>
      </w:r>
      <w:r>
        <w:rPr>
          <w:color w:val="000000"/>
        </w:rPr>
        <w:t>ALJ</w:t>
      </w:r>
      <w:r w:rsidR="00B47AE7">
        <w:rPr>
          <w:color w:val="000000"/>
        </w:rPr>
        <w:t>s)</w:t>
      </w:r>
      <w:r>
        <w:rPr>
          <w:color w:val="000000"/>
        </w:rPr>
        <w:t xml:space="preserve"> filed Order No. 7</w:t>
      </w:r>
      <w:bookmarkEnd w:id="3"/>
      <w:r>
        <w:rPr>
          <w:color w:val="000000"/>
        </w:rPr>
        <w:t xml:space="preserve">, </w:t>
      </w:r>
      <w:r>
        <w:rPr>
          <w:color w:val="000000"/>
        </w:rPr>
        <w:lastRenderedPageBreak/>
        <w:t>denying the Districts</w:t>
      </w:r>
      <w:r w:rsidR="00B47AE7">
        <w:rPr>
          <w:color w:val="000000"/>
        </w:rPr>
        <w:t>’</w:t>
      </w:r>
      <w:r>
        <w:rPr>
          <w:color w:val="000000"/>
        </w:rPr>
        <w:t xml:space="preserve"> motion to compel regarding RFIs 6-4 through 6-7.</w:t>
      </w:r>
      <w:r w:rsidR="003634A4">
        <w:rPr>
          <w:rStyle w:val="FootnoteReference"/>
          <w:color w:val="000000"/>
        </w:rPr>
        <w:footnoteReference w:id="5"/>
      </w:r>
      <w:r>
        <w:rPr>
          <w:color w:val="000000"/>
        </w:rPr>
        <w:t xml:space="preserve">  </w:t>
      </w:r>
      <w:r w:rsidR="003634A4">
        <w:rPr>
          <w:color w:val="000000"/>
        </w:rPr>
        <w:t>In that order, the SOAH ALJs agreed with the City and concluded that a prudence review is beyond the scope of this proceeding and denied the joint appeal.</w:t>
      </w:r>
      <w:r w:rsidR="003634A4">
        <w:rPr>
          <w:rStyle w:val="FootnoteReference"/>
          <w:color w:val="000000"/>
        </w:rPr>
        <w:footnoteReference w:id="6"/>
      </w:r>
    </w:p>
    <w:p w:rsidR="00B47AE7" w:rsidRPr="00295919" w:rsidRDefault="00916645" w:rsidP="00295919">
      <w:pPr>
        <w:pStyle w:val="BodyText"/>
        <w:rPr>
          <w:color w:val="000000"/>
        </w:rPr>
      </w:pPr>
      <w:r>
        <w:rPr>
          <w:color w:val="000000"/>
        </w:rPr>
        <w:t>The District and Commission Staff filed a joint appeal of Order No. 7 on October 24, 2019.</w:t>
      </w:r>
      <w:r w:rsidR="003634A4">
        <w:rPr>
          <w:rStyle w:val="FootnoteReference"/>
          <w:color w:val="000000"/>
        </w:rPr>
        <w:footnoteReference w:id="7"/>
      </w:r>
      <w:r w:rsidR="00295919">
        <w:rPr>
          <w:color w:val="000000"/>
        </w:rPr>
        <w:t xml:space="preserve">  </w:t>
      </w:r>
      <w:r w:rsidR="003A116D">
        <w:rPr>
          <w:color w:val="000000"/>
        </w:rPr>
        <w:t xml:space="preserve">The Districts </w:t>
      </w:r>
      <w:r w:rsidR="0040004D">
        <w:rPr>
          <w:color w:val="000000"/>
        </w:rPr>
        <w:t xml:space="preserve">and Commission Staff </w:t>
      </w:r>
      <w:r w:rsidR="003A116D">
        <w:rPr>
          <w:color w:val="000000"/>
        </w:rPr>
        <w:t xml:space="preserve">contended </w:t>
      </w:r>
      <w:r w:rsidR="003A116D" w:rsidRPr="00ED1DBF">
        <w:rPr>
          <w:color w:val="000000"/>
        </w:rPr>
        <w:t>RFIs</w:t>
      </w:r>
      <w:r w:rsidR="003A116D">
        <w:rPr>
          <w:color w:val="000000"/>
        </w:rPr>
        <w:t xml:space="preserve"> 6-4 through 6-7 are relevant because </w:t>
      </w:r>
      <w:r w:rsidR="003A116D">
        <w:rPr>
          <w:rFonts w:eastAsia="Times New Roman"/>
          <w:color w:val="000000"/>
          <w:spacing w:val="2"/>
          <w:sz w:val="23"/>
        </w:rPr>
        <w:t>whether a utility uses the cash-needs basis or the utility basis for determining its revenue requirement is unrelated to the determination of whether the costs included in the revenue requirement were reasonable and necessary in the establishment of just and reasonable rates.</w:t>
      </w:r>
      <w:r w:rsidR="003A116D">
        <w:rPr>
          <w:rStyle w:val="FootnoteReference"/>
          <w:rFonts w:eastAsia="Times New Roman"/>
          <w:color w:val="000000"/>
          <w:spacing w:val="2"/>
          <w:sz w:val="23"/>
        </w:rPr>
        <w:footnoteReference w:id="8"/>
      </w:r>
      <w:r w:rsidR="003A116D">
        <w:rPr>
          <w:rFonts w:eastAsia="Times New Roman"/>
          <w:color w:val="000000"/>
          <w:spacing w:val="2"/>
          <w:sz w:val="23"/>
        </w:rPr>
        <w:t xml:space="preserve">  </w:t>
      </w:r>
    </w:p>
    <w:p w:rsidR="001568C9" w:rsidRDefault="00295919" w:rsidP="00E06BBF">
      <w:pPr>
        <w:pStyle w:val="BodyText"/>
        <w:rPr>
          <w:color w:val="000000"/>
        </w:rPr>
      </w:pPr>
      <w:r>
        <w:rPr>
          <w:color w:val="000000"/>
        </w:rPr>
        <w:t>On October 31, 2019, the City filed its response to joint appeal.</w:t>
      </w:r>
      <w:r w:rsidR="00C82293">
        <w:rPr>
          <w:rStyle w:val="FootnoteReference"/>
          <w:color w:val="000000"/>
        </w:rPr>
        <w:footnoteReference w:id="9"/>
      </w:r>
      <w:r>
        <w:rPr>
          <w:color w:val="000000"/>
        </w:rPr>
        <w:t xml:space="preserve">  </w:t>
      </w:r>
      <w:r w:rsidR="00504B6A">
        <w:rPr>
          <w:color w:val="000000"/>
        </w:rPr>
        <w:t xml:space="preserve">The City </w:t>
      </w:r>
      <w:r>
        <w:rPr>
          <w:color w:val="000000"/>
        </w:rPr>
        <w:t>maintained</w:t>
      </w:r>
      <w:r w:rsidR="00504B6A" w:rsidRPr="00ED1DBF">
        <w:rPr>
          <w:color w:val="000000"/>
        </w:rPr>
        <w:t xml:space="preserve"> that, as a retail public utility using the cash</w:t>
      </w:r>
      <w:r w:rsidR="00504B6A">
        <w:rPr>
          <w:color w:val="000000"/>
        </w:rPr>
        <w:t>-</w:t>
      </w:r>
      <w:r w:rsidR="00504B6A" w:rsidRPr="00ED1DBF">
        <w:rPr>
          <w:color w:val="000000"/>
        </w:rPr>
        <w:t xml:space="preserve">flow </w:t>
      </w:r>
      <w:r w:rsidR="00504B6A">
        <w:rPr>
          <w:color w:val="000000"/>
        </w:rPr>
        <w:t>methodology for setting wholesale water or sewer rates under t</w:t>
      </w:r>
      <w:r w:rsidR="00504B6A" w:rsidRPr="002A7418">
        <w:rPr>
          <w:color w:val="000000"/>
        </w:rPr>
        <w:t>he Commission’s alternate</w:t>
      </w:r>
      <w:r w:rsidR="00504B6A">
        <w:rPr>
          <w:color w:val="000000"/>
        </w:rPr>
        <w:t>-</w:t>
      </w:r>
      <w:r w:rsidR="00504B6A" w:rsidRPr="002A7418">
        <w:rPr>
          <w:color w:val="000000"/>
        </w:rPr>
        <w:t>rate</w:t>
      </w:r>
      <w:r w:rsidR="00504B6A">
        <w:rPr>
          <w:color w:val="000000"/>
        </w:rPr>
        <w:t>-</w:t>
      </w:r>
      <w:r w:rsidR="00504B6A" w:rsidRPr="002A7418">
        <w:rPr>
          <w:color w:val="000000"/>
        </w:rPr>
        <w:t>methods rule</w:t>
      </w:r>
      <w:r w:rsidR="00B47AE7">
        <w:rPr>
          <w:color w:val="000000"/>
        </w:rPr>
        <w:t>,</w:t>
      </w:r>
      <w:r w:rsidR="00504B6A">
        <w:rPr>
          <w:rStyle w:val="FootnoteReference"/>
          <w:color w:val="000000"/>
        </w:rPr>
        <w:footnoteReference w:id="10"/>
      </w:r>
      <w:r w:rsidR="00504B6A" w:rsidRPr="00ED1DBF">
        <w:rPr>
          <w:color w:val="000000"/>
        </w:rPr>
        <w:t xml:space="preserve"> </w:t>
      </w:r>
      <w:r w:rsidR="00504B6A" w:rsidRPr="00106CF4">
        <w:rPr>
          <w:color w:val="000000"/>
        </w:rPr>
        <w:t>the Handcox Water Treatment Plant (formerly known as Water Treatment Plant No. 4)</w:t>
      </w:r>
      <w:r w:rsidR="00504B6A">
        <w:rPr>
          <w:color w:val="000000"/>
        </w:rPr>
        <w:t xml:space="preserve"> and </w:t>
      </w:r>
      <w:r w:rsidR="00504B6A" w:rsidRPr="00106CF4">
        <w:rPr>
          <w:color w:val="000000"/>
        </w:rPr>
        <w:t>the prudence of its invested capital</w:t>
      </w:r>
      <w:r w:rsidR="00504B6A">
        <w:rPr>
          <w:color w:val="000000"/>
        </w:rPr>
        <w:t xml:space="preserve"> are</w:t>
      </w:r>
      <w:r w:rsidR="00504B6A" w:rsidRPr="00106CF4">
        <w:rPr>
          <w:color w:val="000000"/>
        </w:rPr>
        <w:t xml:space="preserve"> not relevant issue</w:t>
      </w:r>
      <w:r w:rsidR="00504B6A">
        <w:rPr>
          <w:color w:val="000000"/>
        </w:rPr>
        <w:t>s</w:t>
      </w:r>
      <w:r w:rsidR="00504B6A" w:rsidRPr="00106CF4">
        <w:rPr>
          <w:color w:val="000000"/>
        </w:rPr>
        <w:t xml:space="preserve"> in this case</w:t>
      </w:r>
      <w:r w:rsidR="00504B6A">
        <w:rPr>
          <w:color w:val="000000"/>
        </w:rPr>
        <w:t>.</w:t>
      </w:r>
      <w:r w:rsidR="00C82293">
        <w:rPr>
          <w:rStyle w:val="FootnoteReference"/>
          <w:color w:val="000000"/>
        </w:rPr>
        <w:footnoteReference w:id="11"/>
      </w:r>
      <w:r w:rsidR="00E06BBF">
        <w:rPr>
          <w:color w:val="000000"/>
        </w:rPr>
        <w:t xml:space="preserve">  </w:t>
      </w:r>
    </w:p>
    <w:p w:rsidR="00EE5DDA" w:rsidRPr="00E06BBF" w:rsidRDefault="00E06BBF" w:rsidP="00E06BBF">
      <w:pPr>
        <w:pStyle w:val="BodyText"/>
        <w:rPr>
          <w:color w:val="000000"/>
        </w:rPr>
      </w:pPr>
      <w:r>
        <w:rPr>
          <w:color w:val="000000"/>
        </w:rPr>
        <w:t>After consideration of the parties’ motions and responses, the Commission</w:t>
      </w:r>
      <w:r w:rsidR="00F73787">
        <w:rPr>
          <w:color w:val="000000"/>
        </w:rPr>
        <w:t xml:space="preserve"> concludes that the requested information is discoverable and</w:t>
      </w:r>
      <w:r>
        <w:rPr>
          <w:color w:val="000000"/>
        </w:rPr>
        <w:t xml:space="preserve"> grants the joint appeal of SOAH Order No. 7.</w:t>
      </w:r>
    </w:p>
    <w:p w:rsidR="00160DCD" w:rsidRDefault="00160DCD" w:rsidP="00433B5E"/>
    <w:p w:rsidR="00F73787" w:rsidRDefault="00F73787">
      <w:pPr>
        <w:spacing w:after="160" w:line="259" w:lineRule="auto"/>
      </w:pPr>
      <w:r>
        <w:br w:type="page"/>
      </w:r>
    </w:p>
    <w:p w:rsidR="00160DCD" w:rsidRDefault="00160DCD" w:rsidP="00160DCD"/>
    <w:p w:rsidR="00160DCD" w:rsidRDefault="00160DCD" w:rsidP="00160DCD">
      <w:pPr>
        <w:pStyle w:val="Dateline"/>
      </w:pPr>
      <w:r>
        <w:t xml:space="preserve">Signed at Austin, Texas the ______ day of </w:t>
      </w:r>
      <w:r w:rsidR="00C82293">
        <w:t xml:space="preserve">November </w:t>
      </w:r>
      <w:r>
        <w:t>201</w:t>
      </w:r>
      <w:r w:rsidR="00C91E74">
        <w:t>9</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E06BBF">
        <w:rPr>
          <w:noProof/>
        </w:rPr>
        <w:t>q:\cadm\orders\interim\49000\49189 order granting appeal.docx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1DA" w:rsidRDefault="00AB71DA" w:rsidP="00D03394">
      <w:r>
        <w:separator/>
      </w:r>
    </w:p>
  </w:endnote>
  <w:endnote w:type="continuationSeparator" w:id="0">
    <w:p w:rsidR="00AB71DA" w:rsidRDefault="00AB71D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1DA" w:rsidRDefault="00AB71DA" w:rsidP="00D03394">
      <w:r>
        <w:separator/>
      </w:r>
    </w:p>
  </w:footnote>
  <w:footnote w:type="continuationSeparator" w:id="0">
    <w:p w:rsidR="00AB71DA" w:rsidRDefault="00AB71DA" w:rsidP="00D03394">
      <w:r>
        <w:continuationSeparator/>
      </w:r>
    </w:p>
  </w:footnote>
  <w:footnote w:id="1">
    <w:p w:rsidR="00916645" w:rsidRDefault="00916645" w:rsidP="00916645">
      <w:pPr>
        <w:pStyle w:val="FootnoteText"/>
      </w:pPr>
      <w:r>
        <w:rPr>
          <w:rStyle w:val="FootnoteReference"/>
        </w:rPr>
        <w:footnoteRef/>
      </w:r>
      <w:r>
        <w:t xml:space="preserve">  </w:t>
      </w:r>
      <w:r>
        <w:rPr>
          <w:i/>
          <w:color w:val="000000"/>
          <w:sz w:val="18"/>
        </w:rPr>
        <w:t xml:space="preserve">Petition of the North Austin Municipal Utility District No. 1, Northtown Municipal Utility District, Travis County Water Control and Improvement District No. 10, and Wells Branch Municipal Utility District from the Ratemaking Actions of the City of Austin and Request for Interim Rates in Williamson and Travis Counties, </w:t>
      </w:r>
      <w:r>
        <w:rPr>
          <w:color w:val="000000"/>
          <w:sz w:val="18"/>
        </w:rPr>
        <w:t xml:space="preserve">Docket No. 42857, Order on </w:t>
      </w:r>
      <w:r w:rsidR="00B47AE7">
        <w:rPr>
          <w:color w:val="000000"/>
          <w:sz w:val="18"/>
        </w:rPr>
        <w:t>Reh</w:t>
      </w:r>
      <w:r>
        <w:rPr>
          <w:color w:val="000000"/>
          <w:sz w:val="18"/>
        </w:rPr>
        <w:t>earing (Jan. 14, 2016).</w:t>
      </w:r>
    </w:p>
  </w:footnote>
  <w:footnote w:id="2">
    <w:p w:rsidR="003634A4" w:rsidRDefault="003634A4">
      <w:pPr>
        <w:pStyle w:val="FootnoteText"/>
      </w:pPr>
      <w:r>
        <w:rPr>
          <w:rStyle w:val="FootnoteReference"/>
        </w:rPr>
        <w:footnoteRef/>
      </w:r>
      <w:r>
        <w:t xml:space="preserve">  SOAH Order No. 7 at 2 (Oct. 14, 2019).</w:t>
      </w:r>
    </w:p>
  </w:footnote>
  <w:footnote w:id="3">
    <w:p w:rsidR="00F73787" w:rsidRDefault="00F73787">
      <w:pPr>
        <w:pStyle w:val="FootnoteText"/>
      </w:pPr>
      <w:r>
        <w:rPr>
          <w:rStyle w:val="FootnoteReference"/>
        </w:rPr>
        <w:footnoteRef/>
      </w:r>
      <w:r>
        <w:t xml:space="preserve">  Districts’ Motion to Compel Austin to Respond to Districts’ 6</w:t>
      </w:r>
      <w:r w:rsidRPr="00F73787">
        <w:t>th</w:t>
      </w:r>
      <w:r>
        <w:t xml:space="preserve"> Request for Information (Sep. 30, 2019).</w:t>
      </w:r>
    </w:p>
  </w:footnote>
  <w:footnote w:id="4">
    <w:p w:rsidR="0040004D" w:rsidRPr="00C82293" w:rsidRDefault="0040004D" w:rsidP="0040004D">
      <w:pPr>
        <w:pStyle w:val="FootnoteText"/>
      </w:pPr>
      <w:r>
        <w:rPr>
          <w:rStyle w:val="FootnoteReference"/>
        </w:rPr>
        <w:footnoteRef/>
      </w:r>
      <w:r>
        <w:t xml:space="preserve">  </w:t>
      </w:r>
      <w:r>
        <w:rPr>
          <w:i/>
        </w:rPr>
        <w:t>Id.</w:t>
      </w:r>
      <w:r>
        <w:t xml:space="preserve"> at 2</w:t>
      </w:r>
      <w:r w:rsidR="00991E59">
        <w:t xml:space="preserve"> </w:t>
      </w:r>
      <w:r>
        <w:t>(citing to Tex. R. Civ. Proc. 192.3 and 16 TAC § 22.141(a)).</w:t>
      </w:r>
    </w:p>
  </w:footnote>
  <w:footnote w:id="5">
    <w:p w:rsidR="003634A4" w:rsidRDefault="003634A4">
      <w:pPr>
        <w:pStyle w:val="FootnoteText"/>
      </w:pPr>
      <w:r>
        <w:rPr>
          <w:rStyle w:val="FootnoteReference"/>
        </w:rPr>
        <w:footnoteRef/>
      </w:r>
      <w:r>
        <w:t xml:space="preserve">  SOAH Order No. 7 at 2-7.</w:t>
      </w:r>
    </w:p>
  </w:footnote>
  <w:footnote w:id="6">
    <w:p w:rsidR="003634A4" w:rsidRDefault="003634A4" w:rsidP="003634A4">
      <w:pPr>
        <w:pStyle w:val="FootnoteText"/>
      </w:pPr>
      <w:r>
        <w:rPr>
          <w:rStyle w:val="FootnoteReference"/>
        </w:rPr>
        <w:footnoteRef/>
      </w:r>
      <w:r>
        <w:t xml:space="preserve">  </w:t>
      </w:r>
      <w:r w:rsidR="00A95EFF" w:rsidRPr="00A95EFF">
        <w:rPr>
          <w:i/>
        </w:rPr>
        <w:t>Id.</w:t>
      </w:r>
      <w:r>
        <w:t xml:space="preserve"> at 4.</w:t>
      </w:r>
    </w:p>
  </w:footnote>
  <w:footnote w:id="7">
    <w:p w:rsidR="003634A4" w:rsidRDefault="003634A4">
      <w:pPr>
        <w:pStyle w:val="FootnoteText"/>
      </w:pPr>
      <w:r>
        <w:rPr>
          <w:rStyle w:val="FootnoteReference"/>
        </w:rPr>
        <w:footnoteRef/>
      </w:r>
      <w:r>
        <w:t xml:space="preserve">  Joint </w:t>
      </w:r>
      <w:r w:rsidR="00C82293">
        <w:t>Appeal of Interim Order No. 7 (Oct. 24, 2019).</w:t>
      </w:r>
    </w:p>
  </w:footnote>
  <w:footnote w:id="8">
    <w:p w:rsidR="003A116D" w:rsidRDefault="003A116D" w:rsidP="003A116D">
      <w:pPr>
        <w:pStyle w:val="FootnoteText"/>
      </w:pPr>
      <w:r>
        <w:rPr>
          <w:rStyle w:val="FootnoteReference"/>
        </w:rPr>
        <w:footnoteRef/>
      </w:r>
      <w:r>
        <w:t xml:space="preserve">  </w:t>
      </w:r>
      <w:r w:rsidR="00A95EFF" w:rsidRPr="00A95EFF">
        <w:rPr>
          <w:i/>
        </w:rPr>
        <w:t>Id.</w:t>
      </w:r>
      <w:r w:rsidRPr="00A95EFF">
        <w:rPr>
          <w:i/>
        </w:rPr>
        <w:t xml:space="preserve"> </w:t>
      </w:r>
      <w:r>
        <w:t>at 7</w:t>
      </w:r>
      <w:r w:rsidR="00A95EFF">
        <w:t>.</w:t>
      </w:r>
    </w:p>
  </w:footnote>
  <w:footnote w:id="9">
    <w:p w:rsidR="00C82293" w:rsidRDefault="00C82293">
      <w:pPr>
        <w:pStyle w:val="FootnoteText"/>
      </w:pPr>
      <w:r>
        <w:rPr>
          <w:rStyle w:val="FootnoteReference"/>
        </w:rPr>
        <w:footnoteRef/>
      </w:r>
      <w:r>
        <w:t xml:space="preserve">  Austin’s Response to Joint Appeal of Interim Order No. 7 (Oct. 31, 2019).</w:t>
      </w:r>
    </w:p>
  </w:footnote>
  <w:footnote w:id="10">
    <w:p w:rsidR="00504B6A" w:rsidRDefault="00504B6A">
      <w:pPr>
        <w:pStyle w:val="FootnoteText"/>
      </w:pPr>
      <w:r>
        <w:rPr>
          <w:rStyle w:val="FootnoteReference"/>
        </w:rPr>
        <w:footnoteRef/>
      </w:r>
      <w:r>
        <w:t xml:space="preserve"> </w:t>
      </w:r>
      <w:r w:rsidR="00C82293">
        <w:t xml:space="preserve"> </w:t>
      </w:r>
      <w:r w:rsidRPr="00504B6A">
        <w:t>16 TAC § 24.75(c)</w:t>
      </w:r>
      <w:r>
        <w:t>.</w:t>
      </w:r>
    </w:p>
  </w:footnote>
  <w:footnote w:id="11">
    <w:p w:rsidR="00C82293" w:rsidRDefault="00C82293">
      <w:pPr>
        <w:pStyle w:val="FootnoteText"/>
      </w:pPr>
      <w:r>
        <w:rPr>
          <w:rStyle w:val="FootnoteReference"/>
        </w:rPr>
        <w:footnoteRef/>
      </w:r>
      <w:r>
        <w:t xml:space="preserve">  </w:t>
      </w:r>
      <w:r w:rsidR="00A95EFF">
        <w:t>Austin’s Response to Joint Appeal of Interim Order No. 7</w:t>
      </w:r>
      <w:r>
        <w:t xml:space="preserve"> at 6-7.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PUC Docket No. </w:t>
    </w:r>
    <w:r w:rsidR="00E06BBF">
      <w:t>49189</w:t>
    </w:r>
    <w:r>
      <w:tab/>
    </w:r>
    <w:r w:rsidR="00733C2F">
      <w:t>Order on Interim Appeal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rsidR="00ED04FC" w:rsidRDefault="00ED04FC">
    <w:pPr>
      <w:pStyle w:val="Header"/>
    </w:pPr>
    <w:r>
      <w:t>SOAH Docket No. 473-1</w:t>
    </w:r>
    <w:r w:rsidR="00E06BBF">
      <w:t>9-6297.WS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1DA"/>
    <w:rsid w:val="00025DD2"/>
    <w:rsid w:val="000E5DBE"/>
    <w:rsid w:val="001169CA"/>
    <w:rsid w:val="001568C9"/>
    <w:rsid w:val="00160DCD"/>
    <w:rsid w:val="001D4F4B"/>
    <w:rsid w:val="001E360C"/>
    <w:rsid w:val="002003F5"/>
    <w:rsid w:val="00266F9F"/>
    <w:rsid w:val="00295919"/>
    <w:rsid w:val="00312838"/>
    <w:rsid w:val="00342263"/>
    <w:rsid w:val="003634A4"/>
    <w:rsid w:val="003729E5"/>
    <w:rsid w:val="003A116D"/>
    <w:rsid w:val="0040004D"/>
    <w:rsid w:val="00433B5E"/>
    <w:rsid w:val="004E082A"/>
    <w:rsid w:val="00504B6A"/>
    <w:rsid w:val="005C3512"/>
    <w:rsid w:val="005E3281"/>
    <w:rsid w:val="0062202F"/>
    <w:rsid w:val="00677B5E"/>
    <w:rsid w:val="00707CD0"/>
    <w:rsid w:val="00733C2F"/>
    <w:rsid w:val="007572FC"/>
    <w:rsid w:val="0080046C"/>
    <w:rsid w:val="0085760D"/>
    <w:rsid w:val="008738BF"/>
    <w:rsid w:val="008D1724"/>
    <w:rsid w:val="00916645"/>
    <w:rsid w:val="009727E0"/>
    <w:rsid w:val="00991E59"/>
    <w:rsid w:val="009C1919"/>
    <w:rsid w:val="00A035EA"/>
    <w:rsid w:val="00A40798"/>
    <w:rsid w:val="00A95EFF"/>
    <w:rsid w:val="00AB71DA"/>
    <w:rsid w:val="00B02ACE"/>
    <w:rsid w:val="00B22348"/>
    <w:rsid w:val="00B47AE7"/>
    <w:rsid w:val="00B71CA8"/>
    <w:rsid w:val="00B805F8"/>
    <w:rsid w:val="00BE3023"/>
    <w:rsid w:val="00C54659"/>
    <w:rsid w:val="00C82293"/>
    <w:rsid w:val="00C91E74"/>
    <w:rsid w:val="00D03394"/>
    <w:rsid w:val="00D1503F"/>
    <w:rsid w:val="00D173CB"/>
    <w:rsid w:val="00D451DC"/>
    <w:rsid w:val="00D706B4"/>
    <w:rsid w:val="00DC3E65"/>
    <w:rsid w:val="00DF73F1"/>
    <w:rsid w:val="00E06BBF"/>
    <w:rsid w:val="00EB3FB6"/>
    <w:rsid w:val="00ED04FC"/>
    <w:rsid w:val="00EE5DDA"/>
    <w:rsid w:val="00F322D9"/>
    <w:rsid w:val="00F73787"/>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C6ECCEF2-9ABA-40D9-BA43-698C9846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2B10C-E1BC-4380-B45A-F994B647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242</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Hovenkamp, Mark</dc:creator>
  <cp:keywords/>
  <dc:description/>
  <cp:lastModifiedBy>Hicks, Ruby</cp:lastModifiedBy>
  <cp:revision>9</cp:revision>
  <cp:lastPrinted>2019-11-18T21:05:00Z</cp:lastPrinted>
  <dcterms:created xsi:type="dcterms:W3CDTF">2019-11-15T19:53:00Z</dcterms:created>
  <dcterms:modified xsi:type="dcterms:W3CDTF">2019-11-18T21:56:00Z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